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051E539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7C3C99" w:rsidRPr="007C3C99">
        <w:rPr>
          <w:rFonts w:ascii="Times New Roman" w:hAnsi="Times New Roman"/>
          <w:sz w:val="28"/>
          <w:szCs w:val="28"/>
        </w:rPr>
        <w:t>05-4966/24</w:t>
      </w:r>
      <w:bookmarkStart w:id="0" w:name="_GoBack"/>
      <w:bookmarkEnd w:id="0"/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7F33B81" w14:textId="77777777" w:rsidR="007C3C99" w:rsidRDefault="007C3C99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b/>
          <w:sz w:val="22"/>
          <w:szCs w:val="22"/>
          <w:lang w:val="en-GB"/>
        </w:rPr>
      </w:pPr>
      <w:r w:rsidRPr="007C3C99">
        <w:rPr>
          <w:rFonts w:ascii="Times New Roman" w:hAnsi="Times New Roman"/>
          <w:b/>
          <w:sz w:val="22"/>
          <w:szCs w:val="22"/>
          <w:lang w:val="en-GB"/>
        </w:rPr>
        <w:t xml:space="preserve">Water supply and sewerage, </w:t>
      </w:r>
      <w:proofErr w:type="spellStart"/>
      <w:r w:rsidRPr="007C3C99">
        <w:rPr>
          <w:rFonts w:ascii="Times New Roman" w:hAnsi="Times New Roman"/>
          <w:b/>
          <w:sz w:val="22"/>
          <w:szCs w:val="22"/>
          <w:lang w:val="en-GB"/>
        </w:rPr>
        <w:t>Herceg</w:t>
      </w:r>
      <w:proofErr w:type="spellEnd"/>
      <w:r w:rsidRPr="007C3C99">
        <w:rPr>
          <w:rFonts w:ascii="Times New Roman" w:hAnsi="Times New Roman"/>
          <w:b/>
          <w:sz w:val="22"/>
          <w:szCs w:val="22"/>
          <w:lang w:val="en-GB"/>
        </w:rPr>
        <w:t xml:space="preserve"> Novi, </w:t>
      </w:r>
    </w:p>
    <w:p w14:paraId="44169D9C" w14:textId="21EB38EA" w:rsidR="00AB471B" w:rsidRPr="007C3C99" w:rsidRDefault="007C3C99" w:rsidP="00F3722B">
      <w:pPr>
        <w:widowControl w:val="0"/>
        <w:snapToGrid w:val="0"/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7C3C99">
        <w:rPr>
          <w:rFonts w:ascii="Times New Roman" w:hAnsi="Times New Roman"/>
          <w:sz w:val="22"/>
          <w:szCs w:val="22"/>
          <w:lang w:val="en-GB"/>
        </w:rPr>
        <w:t xml:space="preserve">Put X </w:t>
      </w:r>
      <w:proofErr w:type="spellStart"/>
      <w:r w:rsidRPr="007C3C99">
        <w:rPr>
          <w:rFonts w:ascii="Times New Roman" w:hAnsi="Times New Roman"/>
          <w:sz w:val="22"/>
          <w:szCs w:val="22"/>
          <w:lang w:val="en-GB"/>
        </w:rPr>
        <w:t>hercegovačke</w:t>
      </w:r>
      <w:proofErr w:type="spellEnd"/>
      <w:r w:rsidRPr="007C3C99">
        <w:rPr>
          <w:rFonts w:ascii="Times New Roman" w:hAnsi="Times New Roman"/>
          <w:sz w:val="22"/>
          <w:szCs w:val="22"/>
          <w:lang w:val="en-GB"/>
        </w:rPr>
        <w:t xml:space="preserve"> brigade 3, 85340 </w:t>
      </w:r>
      <w:proofErr w:type="spellStart"/>
      <w:r w:rsidRPr="007C3C99">
        <w:rPr>
          <w:rFonts w:ascii="Times New Roman" w:hAnsi="Times New Roman"/>
          <w:sz w:val="22"/>
          <w:szCs w:val="22"/>
          <w:lang w:val="en-GB"/>
        </w:rPr>
        <w:t>Herceg</w:t>
      </w:r>
      <w:proofErr w:type="spellEnd"/>
      <w:r w:rsidRPr="007C3C99">
        <w:rPr>
          <w:rFonts w:ascii="Times New Roman" w:hAnsi="Times New Roman"/>
          <w:sz w:val="22"/>
          <w:szCs w:val="22"/>
          <w:lang w:val="en-GB"/>
        </w:rPr>
        <w:t xml:space="preserve"> Novi, Montenegro</w:t>
      </w:r>
      <w:r w:rsidR="004D16FA" w:rsidRPr="007C3C99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2A93A85" w14:textId="77777777" w:rsidR="004D2FD8" w:rsidRPr="00387E08" w:rsidRDefault="004D2FD8" w:rsidP="00F3722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094F417" w14:textId="77777777" w:rsidR="00C545D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47BE4C82" w14:textId="35F8B06C" w:rsidR="004D2FD8" w:rsidRPr="009B30FB" w:rsidRDefault="004D2FD8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64BDAFF" w14:textId="39975026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C3C99" w:rsidRPr="007C3C99">
        <w:rPr>
          <w:rFonts w:ascii="Times New Roman" w:hAnsi="Times New Roman"/>
          <w:b/>
          <w:sz w:val="28"/>
          <w:lang w:val="en-GB"/>
        </w:rPr>
        <w:t xml:space="preserve">Supply of equipment for the monitoring of the water supply system of </w:t>
      </w:r>
      <w:proofErr w:type="spellStart"/>
      <w:r w:rsidR="007C3C99" w:rsidRPr="007C3C99">
        <w:rPr>
          <w:rFonts w:ascii="Times New Roman" w:hAnsi="Times New Roman"/>
          <w:b/>
          <w:sz w:val="28"/>
          <w:lang w:val="en-GB"/>
        </w:rPr>
        <w:t>Herceg</w:t>
      </w:r>
      <w:proofErr w:type="spellEnd"/>
      <w:r w:rsidR="007C3C99" w:rsidRPr="007C3C99">
        <w:rPr>
          <w:rFonts w:ascii="Times New Roman" w:hAnsi="Times New Roman"/>
          <w:b/>
          <w:sz w:val="28"/>
          <w:lang w:val="en-GB"/>
        </w:rPr>
        <w:t xml:space="preserve"> Novi</w:t>
      </w:r>
    </w:p>
    <w:p w14:paraId="371D4A92" w14:textId="562382D3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C3C99" w:rsidRPr="007C3C99">
        <w:rPr>
          <w:rFonts w:ascii="Times New Roman" w:hAnsi="Times New Roman"/>
          <w:sz w:val="22"/>
          <w:lang w:val="en-GB"/>
        </w:rPr>
        <w:t>05-4966/24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369C7CDB" w14:textId="40D88694" w:rsidR="004D2FD8" w:rsidRDefault="004D2FD8" w:rsidP="00DE3233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subject of the contract shall be </w:t>
      </w:r>
      <w:r w:rsidRPr="00F3722B">
        <w:rPr>
          <w:rFonts w:ascii="Times New Roman" w:hAnsi="Times New Roman"/>
          <w:sz w:val="22"/>
          <w:lang w:val="en-GB"/>
        </w:rPr>
        <w:t xml:space="preserve">the </w:t>
      </w:r>
      <w:r w:rsidR="00D5158D" w:rsidRPr="00F3722B">
        <w:rPr>
          <w:rFonts w:ascii="Times New Roman" w:hAnsi="Times New Roman"/>
          <w:sz w:val="22"/>
          <w:lang w:val="en-GB"/>
        </w:rPr>
        <w:t>supply</w:t>
      </w:r>
      <w:r w:rsidR="00F3722B" w:rsidRPr="00F3722B">
        <w:rPr>
          <w:rFonts w:ascii="Times New Roman" w:hAnsi="Times New Roman"/>
          <w:sz w:val="22"/>
          <w:lang w:val="en-GB"/>
        </w:rPr>
        <w:t xml:space="preserve"> and </w:t>
      </w:r>
      <w:r w:rsidRPr="00F3722B">
        <w:rPr>
          <w:rFonts w:ascii="Times New Roman" w:hAnsi="Times New Roman"/>
          <w:sz w:val="22"/>
          <w:lang w:val="en-GB"/>
        </w:rPr>
        <w:t>delivery</w:t>
      </w:r>
      <w:r w:rsidRPr="009B30FB">
        <w:rPr>
          <w:rFonts w:ascii="Times New Roman" w:hAnsi="Times New Roman"/>
          <w:sz w:val="22"/>
          <w:lang w:val="en-GB"/>
        </w:rPr>
        <w:t xml:space="preserve"> of the following supplies</w:t>
      </w:r>
      <w:r w:rsidRPr="007B70EE">
        <w:rPr>
          <w:rFonts w:ascii="Times New Roman" w:hAnsi="Times New Roman"/>
          <w:sz w:val="22"/>
          <w:lang w:val="en-GB"/>
        </w:rPr>
        <w:t>:</w:t>
      </w:r>
    </w:p>
    <w:p w14:paraId="11100D0B" w14:textId="77777777" w:rsidR="007C3C99" w:rsidRPr="00625002" w:rsidRDefault="007C3C99" w:rsidP="007C3C99">
      <w:pPr>
        <w:pStyle w:val="Subtitle"/>
        <w:spacing w:before="0" w:after="0"/>
        <w:ind w:firstLine="720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b w:val="0"/>
          <w:sz w:val="22"/>
          <w:lang w:val="en-GB"/>
        </w:rPr>
        <w:t>E</w:t>
      </w:r>
      <w:r w:rsidRPr="00625002">
        <w:rPr>
          <w:rFonts w:ascii="Times New Roman" w:hAnsi="Times New Roman"/>
          <w:b w:val="0"/>
          <w:sz w:val="22"/>
          <w:lang w:val="en-GB"/>
        </w:rPr>
        <w:t xml:space="preserve">quipment for the monitoring of the water supply system of </w:t>
      </w:r>
      <w:proofErr w:type="spellStart"/>
      <w:r w:rsidRPr="00625002">
        <w:rPr>
          <w:rFonts w:ascii="Times New Roman" w:hAnsi="Times New Roman"/>
          <w:b w:val="0"/>
          <w:sz w:val="22"/>
          <w:lang w:val="en-GB"/>
        </w:rPr>
        <w:t>Herceg</w:t>
      </w:r>
      <w:proofErr w:type="spellEnd"/>
      <w:r w:rsidRPr="00625002">
        <w:rPr>
          <w:rFonts w:ascii="Times New Roman" w:hAnsi="Times New Roman"/>
          <w:b w:val="0"/>
          <w:sz w:val="22"/>
          <w:lang w:val="en-GB"/>
        </w:rPr>
        <w:t xml:space="preserve"> Novi</w:t>
      </w:r>
      <w:r>
        <w:rPr>
          <w:rFonts w:ascii="Times New Roman" w:hAnsi="Times New Roman"/>
          <w:b w:val="0"/>
          <w:sz w:val="22"/>
          <w:lang w:val="en-GB"/>
        </w:rPr>
        <w:t>:</w:t>
      </w:r>
    </w:p>
    <w:p w14:paraId="2FD11133" w14:textId="77777777" w:rsidR="007C3C99" w:rsidRDefault="007C3C99" w:rsidP="007C3C9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625002">
        <w:rPr>
          <w:rFonts w:ascii="Times New Roman" w:hAnsi="Times New Roman"/>
        </w:rPr>
        <w:t xml:space="preserve">Leakage noise logger for </w:t>
      </w:r>
      <w:proofErr w:type="spellStart"/>
      <w:r w:rsidRPr="00625002">
        <w:rPr>
          <w:rFonts w:ascii="Times New Roman" w:hAnsi="Times New Roman"/>
        </w:rPr>
        <w:t>hydrophonic</w:t>
      </w:r>
      <w:proofErr w:type="spellEnd"/>
      <w:r w:rsidRPr="00625002">
        <w:rPr>
          <w:rFonts w:ascii="Times New Roman" w:hAnsi="Times New Roman"/>
        </w:rPr>
        <w:t xml:space="preserve"> detection on main pipelines -</w:t>
      </w:r>
      <w:r>
        <w:rPr>
          <w:rFonts w:ascii="Times New Roman" w:hAnsi="Times New Roman"/>
        </w:rPr>
        <w:t xml:space="preserve">2 </w:t>
      </w:r>
      <w:r w:rsidRPr="00625002">
        <w:rPr>
          <w:rFonts w:ascii="Times New Roman" w:hAnsi="Times New Roman"/>
        </w:rPr>
        <w:t>pieces</w:t>
      </w:r>
    </w:p>
    <w:p w14:paraId="028D9FD5" w14:textId="77777777" w:rsidR="007C3C99" w:rsidRDefault="007C3C99" w:rsidP="007C3C9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625002">
        <w:rPr>
          <w:rFonts w:ascii="Times New Roman" w:hAnsi="Times New Roman"/>
        </w:rPr>
        <w:t>Consumption monitoring device with meter and remote data upload – 80 pieces</w:t>
      </w:r>
    </w:p>
    <w:p w14:paraId="0E395ABD" w14:textId="77777777" w:rsidR="007C3C99" w:rsidRPr="00625002" w:rsidRDefault="007C3C99" w:rsidP="007C3C9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625002">
        <w:rPr>
          <w:rFonts w:ascii="Times New Roman" w:hAnsi="Times New Roman"/>
        </w:rPr>
        <w:t>Correlation radio logger of leakage noise – 20 pieces</w:t>
      </w:r>
    </w:p>
    <w:p w14:paraId="495ACC85" w14:textId="77777777" w:rsidR="007C3C99" w:rsidRDefault="007C3C99" w:rsidP="007C3C9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625002">
        <w:rPr>
          <w:rFonts w:ascii="Times New Roman" w:hAnsi="Times New Roman"/>
        </w:rPr>
        <w:t>Digital manometer with integrated pressure sensor</w:t>
      </w:r>
      <w:r>
        <w:rPr>
          <w:rFonts w:ascii="Times New Roman" w:hAnsi="Times New Roman"/>
        </w:rPr>
        <w:t xml:space="preserve"> – 3 </w:t>
      </w:r>
      <w:r w:rsidRPr="00625002">
        <w:rPr>
          <w:rFonts w:ascii="Times New Roman" w:hAnsi="Times New Roman"/>
        </w:rPr>
        <w:t>pieces</w:t>
      </w:r>
    </w:p>
    <w:p w14:paraId="3B64DC37" w14:textId="77777777" w:rsidR="007C3C99" w:rsidRPr="00625002" w:rsidRDefault="007C3C99" w:rsidP="007C3C99">
      <w:pPr>
        <w:pStyle w:val="ListParagraph"/>
        <w:numPr>
          <w:ilvl w:val="0"/>
          <w:numId w:val="41"/>
        </w:numPr>
        <w:jc w:val="both"/>
        <w:rPr>
          <w:rFonts w:ascii="Times New Roman" w:hAnsi="Times New Roman"/>
        </w:rPr>
      </w:pPr>
      <w:r w:rsidRPr="00625002">
        <w:rPr>
          <w:rFonts w:ascii="Times New Roman" w:hAnsi="Times New Roman"/>
        </w:rPr>
        <w:t>Battery booster – 7 pieces</w:t>
      </w:r>
    </w:p>
    <w:p w14:paraId="718DB1B4" w14:textId="65610B30" w:rsidR="009B0CF1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7C3C99" w:rsidRPr="007C3C99">
        <w:rPr>
          <w:rFonts w:ascii="Times New Roman" w:hAnsi="Times New Roman"/>
          <w:sz w:val="22"/>
        </w:rPr>
        <w:t>Water supply and sewerage, Herceg Novi, 85340 Herceg Novi, Montenegro</w:t>
      </w:r>
      <w:r w:rsidR="00F3722B" w:rsidRPr="001D1EDB">
        <w:rPr>
          <w:rFonts w:ascii="Times New Roman" w:hAnsi="Times New Roman"/>
          <w:sz w:val="22"/>
        </w:rPr>
        <w:t>,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</w:t>
      </w:r>
      <w:r w:rsidRPr="00C545D5">
        <w:rPr>
          <w:rFonts w:ascii="Times New Roman" w:hAnsi="Times New Roman"/>
          <w:sz w:val="22"/>
          <w:lang w:val="en-GB"/>
        </w:rPr>
        <w:t xml:space="preserve">be </w:t>
      </w:r>
      <w:r w:rsidR="007C3C99">
        <w:rPr>
          <w:rFonts w:ascii="Times New Roman" w:hAnsi="Times New Roman"/>
          <w:sz w:val="22"/>
          <w:lang w:val="en-GB"/>
        </w:rPr>
        <w:t>9</w:t>
      </w:r>
      <w:r w:rsidR="00531DCD" w:rsidRPr="00C545D5">
        <w:rPr>
          <w:rFonts w:ascii="Times New Roman" w:hAnsi="Times New Roman"/>
          <w:sz w:val="22"/>
          <w:lang w:val="en-GB"/>
        </w:rPr>
        <w:t>0</w:t>
      </w:r>
      <w:r w:rsidR="00F3722B" w:rsidRPr="00C545D5">
        <w:rPr>
          <w:rFonts w:ascii="Times New Roman" w:hAnsi="Times New Roman"/>
          <w:sz w:val="22"/>
          <w:lang w:val="en-GB"/>
        </w:rPr>
        <w:t xml:space="preserve"> day</w:t>
      </w:r>
      <w:r w:rsidR="00F3722B">
        <w:rPr>
          <w:rFonts w:ascii="Times New Roman" w:hAnsi="Times New Roman"/>
          <w:sz w:val="22"/>
          <w:lang w:val="en-GB"/>
        </w:rPr>
        <w:t>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F3722B">
        <w:rPr>
          <w:rFonts w:ascii="Times New Roman" w:hAnsi="Times New Roman"/>
          <w:sz w:val="22"/>
          <w:lang w:val="en-GB"/>
        </w:rPr>
        <w:t>DDP</w:t>
      </w:r>
      <w:r w:rsidR="00E2190B" w:rsidRPr="00F3722B">
        <w:rPr>
          <w:rStyle w:val="FootnoteReference"/>
          <w:rFonts w:ascii="Times New Roman" w:hAnsi="Times New Roman"/>
          <w:sz w:val="22"/>
          <w:lang w:val="en-GB"/>
        </w:rPr>
        <w:footnoteReference w:id="1"/>
      </w:r>
      <w:r w:rsidRPr="00F3722B">
        <w:rPr>
          <w:rFonts w:ascii="Times New Roman" w:hAnsi="Times New Roman"/>
          <w:sz w:val="22"/>
          <w:lang w:val="en-GB"/>
        </w:rPr>
        <w:t>.</w:t>
      </w:r>
      <w:r w:rsidRPr="00A940DC">
        <w:rPr>
          <w:rFonts w:ascii="Times New Roman" w:hAnsi="Times New Roman"/>
          <w:sz w:val="22"/>
          <w:lang w:val="en-GB"/>
        </w:rPr>
        <w:t xml:space="preserve">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F3722B">
        <w:rPr>
          <w:rFonts w:ascii="Times New Roman" w:hAnsi="Times New Roman"/>
          <w:sz w:val="22"/>
          <w:lang w:val="en-GB"/>
        </w:rPr>
        <w:t>the date of signing of the contract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>t</w:t>
      </w:r>
      <w:r w:rsidRPr="00F3722B">
        <w:rPr>
          <w:rFonts w:ascii="Times New Roman" w:hAnsi="Times New Roman"/>
          <w:sz w:val="22"/>
          <w:lang w:val="en-GB"/>
        </w:rPr>
        <w:t xml:space="preserve">o </w:t>
      </w:r>
      <w:r w:rsidR="00073C0E" w:rsidRPr="00F3722B">
        <w:rPr>
          <w:rFonts w:ascii="Times New Roman" w:hAnsi="Times New Roman"/>
          <w:sz w:val="22"/>
          <w:lang w:val="en-GB"/>
        </w:rPr>
        <w:t>date for provisional acceptance</w:t>
      </w:r>
      <w:r w:rsidRPr="00F3722B">
        <w:rPr>
          <w:rFonts w:ascii="Times New Roman" w:hAnsi="Times New Roman"/>
          <w:sz w:val="22"/>
          <w:lang w:val="en-GB"/>
        </w:rPr>
        <w:t>.</w:t>
      </w:r>
    </w:p>
    <w:p w14:paraId="3AD19CC1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5EEB37DD" w:rsidR="00A628BF" w:rsidRPr="00F3722B" w:rsidRDefault="004D2FD8" w:rsidP="007E333F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</w:t>
      </w:r>
      <w:r w:rsidRPr="00F3722B">
        <w:rPr>
          <w:rFonts w:ascii="Times New Roman" w:hAnsi="Times New Roman"/>
          <w:sz w:val="22"/>
          <w:lang w:val="en-GB"/>
        </w:rPr>
        <w:t xml:space="preserve">e </w:t>
      </w:r>
      <w:r w:rsidR="00C545D5" w:rsidRPr="00C545D5">
        <w:rPr>
          <w:rFonts w:ascii="Times New Roman" w:hAnsi="Times New Roman"/>
          <w:sz w:val="22"/>
          <w:highlight w:val="yellow"/>
          <w:lang w:val="en-GB"/>
        </w:rPr>
        <w:t>_______</w:t>
      </w:r>
      <w:r w:rsidR="001E684B" w:rsidRPr="00F3722B">
        <w:rPr>
          <w:rFonts w:ascii="Times New Roman" w:hAnsi="Times New Roman"/>
          <w:sz w:val="22"/>
          <w:lang w:val="en-GB"/>
        </w:rPr>
        <w:t>EUR</w:t>
      </w:r>
      <w:r w:rsidR="00F3722B" w:rsidRPr="00F3722B">
        <w:rPr>
          <w:rFonts w:ascii="Times New Roman" w:hAnsi="Times New Roman"/>
          <w:sz w:val="22"/>
          <w:lang w:val="en-GB"/>
        </w:rPr>
        <w:t>.</w:t>
      </w:r>
      <w:r w:rsidR="001E684B" w:rsidRPr="00F3722B">
        <w:rPr>
          <w:rFonts w:ascii="Times New Roman" w:hAnsi="Times New Roman"/>
          <w:sz w:val="22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I);</w:t>
      </w:r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0A2DAD5E" w14:textId="77777777" w:rsidR="007E333F" w:rsidRP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50D563C4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English </w:t>
      </w:r>
      <w:r w:rsidRPr="002E3CD5">
        <w:rPr>
          <w:rFonts w:ascii="Times New Roman" w:hAnsi="Times New Roman"/>
          <w:sz w:val="22"/>
          <w:lang w:val="en-GB"/>
        </w:rPr>
        <w:t xml:space="preserve">in </w:t>
      </w:r>
      <w:r w:rsidR="00227A05" w:rsidRPr="002E3CD5">
        <w:rPr>
          <w:rFonts w:ascii="Times New Roman" w:hAnsi="Times New Roman"/>
          <w:sz w:val="22"/>
          <w:lang w:val="en-GB"/>
        </w:rPr>
        <w:t xml:space="preserve">two </w:t>
      </w:r>
      <w:r w:rsidRPr="002E3CD5">
        <w:rPr>
          <w:rFonts w:ascii="Times New Roman" w:hAnsi="Times New Roman"/>
          <w:sz w:val="22"/>
          <w:lang w:val="en-GB"/>
        </w:rPr>
        <w:t xml:space="preserve">originals, </w:t>
      </w:r>
      <w:r w:rsidR="00067BE9" w:rsidRPr="002E3CD5">
        <w:rPr>
          <w:rFonts w:ascii="Times New Roman" w:hAnsi="Times New Roman"/>
          <w:sz w:val="22"/>
          <w:lang w:val="en-GB"/>
        </w:rPr>
        <w:t>one</w:t>
      </w:r>
      <w:r w:rsidR="002E3CD5" w:rsidRPr="002E3CD5">
        <w:rPr>
          <w:rFonts w:ascii="Times New Roman" w:hAnsi="Times New Roman"/>
          <w:sz w:val="22"/>
          <w:lang w:val="en-GB"/>
        </w:rPr>
        <w:t xml:space="preserve"> </w:t>
      </w:r>
      <w:r w:rsidRPr="002E3CD5">
        <w:rPr>
          <w:rFonts w:ascii="Times New Roman" w:hAnsi="Times New Roman"/>
          <w:sz w:val="22"/>
          <w:lang w:val="en-GB"/>
        </w:rPr>
        <w:t xml:space="preserve">being for the Contracting Authority, and one original being for the </w:t>
      </w:r>
      <w:r w:rsidR="002D47E8" w:rsidRPr="002E3CD5">
        <w:rPr>
          <w:rFonts w:ascii="Times New Roman" w:hAnsi="Times New Roman"/>
          <w:sz w:val="22"/>
          <w:lang w:val="en-GB"/>
        </w:rPr>
        <w:t>Contractor</w:t>
      </w:r>
      <w:r w:rsidRPr="002E3CD5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202A3" w14:textId="77777777" w:rsidR="00474911" w:rsidRDefault="00474911">
      <w:r>
        <w:separator/>
      </w:r>
    </w:p>
    <w:p w14:paraId="648C101D" w14:textId="77777777" w:rsidR="00474911" w:rsidRDefault="00474911"/>
  </w:endnote>
  <w:endnote w:type="continuationSeparator" w:id="0">
    <w:p w14:paraId="4943DAE4" w14:textId="77777777" w:rsidR="00474911" w:rsidRDefault="00474911">
      <w:r>
        <w:continuationSeparator/>
      </w:r>
    </w:p>
    <w:p w14:paraId="4B3129C7" w14:textId="77777777" w:rsidR="00474911" w:rsidRDefault="004749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44A2A" w14:textId="77777777" w:rsidR="00326BE0" w:rsidRPr="0076436E" w:rsidRDefault="00326BE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EAFC2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3F599" w14:textId="77777777" w:rsidR="00474911" w:rsidRDefault="00474911">
      <w:r>
        <w:separator/>
      </w:r>
    </w:p>
  </w:footnote>
  <w:footnote w:type="continuationSeparator" w:id="0">
    <w:p w14:paraId="36473E3B" w14:textId="77777777" w:rsidR="00474911" w:rsidRDefault="00474911">
      <w:r>
        <w:continuationSeparator/>
      </w:r>
    </w:p>
    <w:p w14:paraId="662B2596" w14:textId="77777777" w:rsidR="00474911" w:rsidRDefault="00474911"/>
  </w:footnote>
  <w:footnote w:id="1">
    <w:p w14:paraId="6C469013" w14:textId="34D8C80F" w:rsidR="00326BE0" w:rsidRPr="00E8632B" w:rsidRDefault="00326BE0" w:rsidP="00764FC7">
      <w:pPr>
        <w:pStyle w:val="FootnoteText"/>
        <w:ind w:left="142" w:hanging="142"/>
        <w:rPr>
          <w:rFonts w:ascii="Times New Roman" w:hAnsi="Times New Roman"/>
          <w:lang w:val="en-GB"/>
        </w:rPr>
      </w:pPr>
      <w:r w:rsidRPr="009B30FB">
        <w:rPr>
          <w:rStyle w:val="FootnoteReference"/>
          <w:rFonts w:ascii="Times New Roman" w:hAnsi="Times New Roman"/>
        </w:rPr>
        <w:footnoteRef/>
      </w:r>
      <w:r w:rsidR="00764FC7">
        <w:rPr>
          <w:rFonts w:ascii="Times New Roman" w:hAnsi="Times New Roman"/>
          <w:lang w:val="en-GB"/>
        </w:rPr>
        <w:tab/>
      </w:r>
      <w:r w:rsidRPr="00F3722B">
        <w:rPr>
          <w:rFonts w:ascii="Times New Roman" w:hAnsi="Times New Roman"/>
          <w:lang w:val="en-GB"/>
        </w:rPr>
        <w:t>DDP (Delivered Duty Paid)</w:t>
      </w:r>
      <w:r w:rsidRPr="00F3722B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F3722B">
        <w:rPr>
          <w:rFonts w:ascii="Times New Roman" w:hAnsi="Times New Roman"/>
          <w:lang w:val="en-GB"/>
        </w:rPr>
        <w:t>- Inc</w:t>
      </w:r>
      <w:r>
        <w:rPr>
          <w:rFonts w:ascii="Times New Roman" w:hAnsi="Times New Roman"/>
          <w:lang w:val="en-GB"/>
        </w:rPr>
        <w:t>oterms 20</w:t>
      </w:r>
      <w:r w:rsidR="00102049">
        <w:rPr>
          <w:rFonts w:ascii="Times New Roman" w:hAnsi="Times New Roman"/>
          <w:lang w:val="en-GB"/>
        </w:rPr>
        <w:t>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="00102049" w:rsidRPr="00AB0812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 w:rsidR="00102049">
        <w:rPr>
          <w:rFonts w:ascii="Times New Roman" w:hAnsi="Times New Roman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029C65" w14:textId="52443238" w:rsidR="00EF3584" w:rsidRDefault="00102049" w:rsidP="00EF3584">
    <w:pPr>
      <w:rPr>
        <w:b/>
        <w:bCs/>
        <w:lang w:val="en-GB"/>
      </w:rPr>
    </w:pPr>
    <w:r>
      <w:rPr>
        <w:bCs/>
        <w:noProof/>
        <w:lang w:eastAsia="hr-HR"/>
      </w:rPr>
      <w:drawing>
        <wp:inline distT="0" distB="0" distL="0" distR="0" wp14:anchorId="1D475EAB" wp14:editId="5607952B">
          <wp:extent cx="2865120" cy="853440"/>
          <wp:effectExtent l="0" t="0" r="0" b="3810"/>
          <wp:docPr id="80740838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7408384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3EB1FA9"/>
    <w:multiLevelType w:val="hybridMultilevel"/>
    <w:tmpl w:val="8052550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35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6"/>
  </w:num>
  <w:num w:numId="8">
    <w:abstractNumId w:val="23"/>
  </w:num>
  <w:num w:numId="9">
    <w:abstractNumId w:val="41"/>
  </w:num>
  <w:num w:numId="10">
    <w:abstractNumId w:val="12"/>
  </w:num>
  <w:num w:numId="11">
    <w:abstractNumId w:val="13"/>
  </w:num>
  <w:num w:numId="12">
    <w:abstractNumId w:val="14"/>
  </w:num>
  <w:num w:numId="13">
    <w:abstractNumId w:val="27"/>
  </w:num>
  <w:num w:numId="14">
    <w:abstractNumId w:val="32"/>
  </w:num>
  <w:num w:numId="15">
    <w:abstractNumId w:val="37"/>
  </w:num>
  <w:num w:numId="16">
    <w:abstractNumId w:val="10"/>
  </w:num>
  <w:num w:numId="17">
    <w:abstractNumId w:val="22"/>
  </w:num>
  <w:num w:numId="18">
    <w:abstractNumId w:val="26"/>
  </w:num>
  <w:num w:numId="19">
    <w:abstractNumId w:val="31"/>
  </w:num>
  <w:num w:numId="20">
    <w:abstractNumId w:val="11"/>
  </w:num>
  <w:num w:numId="21">
    <w:abstractNumId w:val="25"/>
  </w:num>
  <w:num w:numId="22">
    <w:abstractNumId w:val="15"/>
  </w:num>
  <w:num w:numId="23">
    <w:abstractNumId w:val="17"/>
  </w:num>
  <w:num w:numId="24">
    <w:abstractNumId w:val="34"/>
  </w:num>
  <w:num w:numId="25">
    <w:abstractNumId w:val="21"/>
  </w:num>
  <w:num w:numId="26">
    <w:abstractNumId w:val="20"/>
  </w:num>
  <w:num w:numId="27">
    <w:abstractNumId w:val="38"/>
  </w:num>
  <w:num w:numId="28">
    <w:abstractNumId w:val="39"/>
  </w:num>
  <w:num w:numId="29">
    <w:abstractNumId w:val="3"/>
  </w:num>
  <w:num w:numId="30">
    <w:abstractNumId w:val="33"/>
  </w:num>
  <w:num w:numId="31">
    <w:abstractNumId w:val="29"/>
  </w:num>
  <w:num w:numId="32">
    <w:abstractNumId w:val="5"/>
  </w:num>
  <w:num w:numId="33">
    <w:abstractNumId w:val="6"/>
  </w:num>
  <w:num w:numId="34">
    <w:abstractNumId w:val="4"/>
  </w:num>
  <w:num w:numId="35">
    <w:abstractNumId w:val="1"/>
  </w:num>
  <w:num w:numId="36">
    <w:abstractNumId w:val="30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2"/>
  </w:num>
  <w:num w:numId="40">
    <w:abstractNumId w:val="1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A06"/>
    <w:rsid w:val="00040CF1"/>
    <w:rsid w:val="00041516"/>
    <w:rsid w:val="000417E2"/>
    <w:rsid w:val="00043159"/>
    <w:rsid w:val="00051DD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0EC2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234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3CD5"/>
    <w:rsid w:val="002F1222"/>
    <w:rsid w:val="002F33C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199D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4236"/>
    <w:rsid w:val="004554CB"/>
    <w:rsid w:val="00467B76"/>
    <w:rsid w:val="00474911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E14D4"/>
    <w:rsid w:val="004F5C57"/>
    <w:rsid w:val="00501FF0"/>
    <w:rsid w:val="00507F82"/>
    <w:rsid w:val="00514BE0"/>
    <w:rsid w:val="00531DCD"/>
    <w:rsid w:val="005355FD"/>
    <w:rsid w:val="00535826"/>
    <w:rsid w:val="00536B4A"/>
    <w:rsid w:val="00546D59"/>
    <w:rsid w:val="00546FB0"/>
    <w:rsid w:val="00552705"/>
    <w:rsid w:val="00560327"/>
    <w:rsid w:val="0056438D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364E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3C99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4ECD"/>
    <w:rsid w:val="00B951B6"/>
    <w:rsid w:val="00B9691D"/>
    <w:rsid w:val="00BA4BC4"/>
    <w:rsid w:val="00BB1D3F"/>
    <w:rsid w:val="00BB3477"/>
    <w:rsid w:val="00BB56D3"/>
    <w:rsid w:val="00BC6222"/>
    <w:rsid w:val="00BC7B0D"/>
    <w:rsid w:val="00BD201F"/>
    <w:rsid w:val="00BD3371"/>
    <w:rsid w:val="00BF5CB3"/>
    <w:rsid w:val="00C0433C"/>
    <w:rsid w:val="00C12AF0"/>
    <w:rsid w:val="00C13C29"/>
    <w:rsid w:val="00C17310"/>
    <w:rsid w:val="00C302E1"/>
    <w:rsid w:val="00C3235B"/>
    <w:rsid w:val="00C34E40"/>
    <w:rsid w:val="00C5182F"/>
    <w:rsid w:val="00C545D5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1D90"/>
    <w:rsid w:val="00D66F04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E3233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E0ED9"/>
    <w:rsid w:val="00EE2E55"/>
    <w:rsid w:val="00EF3584"/>
    <w:rsid w:val="00F02006"/>
    <w:rsid w:val="00F023B1"/>
    <w:rsid w:val="00F0574A"/>
    <w:rsid w:val="00F200C8"/>
    <w:rsid w:val="00F232CE"/>
    <w:rsid w:val="00F3222C"/>
    <w:rsid w:val="00F33A99"/>
    <w:rsid w:val="00F3722B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102049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7C3C99"/>
    <w:rPr>
      <w:rFonts w:ascii="Arial" w:hAnsi="Arial"/>
      <w:b/>
      <w:snapToGrid w:val="0"/>
      <w:sz w:val="28"/>
      <w:lang w:val="fr-BE"/>
    </w:rPr>
  </w:style>
  <w:style w:type="paragraph" w:styleId="ListParagraph">
    <w:name w:val="List Paragraph"/>
    <w:basedOn w:val="Normal"/>
    <w:uiPriority w:val="34"/>
    <w:qFormat/>
    <w:rsid w:val="007C3C99"/>
    <w:pPr>
      <w:spacing w:before="0" w:after="0"/>
      <w:ind w:left="720"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2B07-3BD3-4F9C-BA1E-87CE216D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2347</Characters>
  <Application>Microsoft Office Word</Application>
  <DocSecurity>0</DocSecurity>
  <Lines>71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2726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PC</cp:lastModifiedBy>
  <cp:revision>2</cp:revision>
  <cp:lastPrinted>2012-10-22T09:58:00Z</cp:lastPrinted>
  <dcterms:created xsi:type="dcterms:W3CDTF">2024-12-29T15:59:00Z</dcterms:created>
  <dcterms:modified xsi:type="dcterms:W3CDTF">2024-12-29T15:59:00Z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